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99</w:t>
      </w:r>
    </w:p>
    <w:p>
      <w:r>
        <w:t>Bundesgericht (BGE), 2018-12-03, DE</w:t>
      </w:r>
    </w:p>
    <w:p>
      <w:r>
        <w:rPr>
          <w:b/>
        </w:rPr>
        <w:t xml:space="preserve">Quelle: </w:t>
      </w:r>
      <w:r>
        <w:t>https://mcp.opencaselaw.ch/entscheid/bge_145 II 99</w:t>
      </w:r>
    </w:p>
    <w:p>
      <w:r>
        <w:t>FR: ATF 145 II 99</w:t>
      </w:r>
    </w:p>
    <w:p>
      <w:r>
        <w:t>IT: DTF 145 II 99</w:t>
      </w:r>
    </w:p>
    <w:p>
      <w:pPr>
        <w:pStyle w:val="Heading2"/>
      </w:pPr>
      <w:r>
        <w:t>Regeste</w:t>
      </w:r>
    </w:p>
    <w:p>
      <w:r>
        <w:t>Regeste Rechtsmissbrauch bei der Bewilligung von 12 Erstwohnungen in Saanen (Art. 75b BV; Art. 6, 7 und 14 ZWG). Annahme eines Rechtsmissbrauchs, weil es unrealistisch erscheint, die geplanten Wohnungen als Erstwohnungen zu vermarkten: Es handelt sich um typische Ferienwohnungen ausserhalb des Zentrums, in einem Ortsteil, in dem es vor allem Zweitwohnungen gibt. Es besteht bereits ein genügendes Angebot an Erstwohnungen des gehobenen Segments in der Gemeinde, deren Bevölkerungsentwicklung stagniert. Seit Einreichung des Baugesuchs konnten auch keine Wohnungen ab Plan an Ortsansässige verkauft werden (E. 3).</w:t>
      </w:r>
    </w:p>
    <w:p>
      <w:pPr>
        <w:pStyle w:val="Heading2"/>
      </w:pPr>
      <w:r>
        <w:t>Erwägungen</w:t>
      </w:r>
    </w:p>
    <w:p>
      <w:r>
        <w:rPr>
          <w:b/>
        </w:rPr>
        <w:t>E. 3</w:t>
      </w:r>
    </w:p>
    <w:p>
      <w:r>
        <w:t>Nach der neueren Rechtsprechung des Bundesgerichts ist von Amtes wegen zu prüfen, ob konkrete Indizien vorliegen, welche die Absicht bzw. die Möglichkeit einer Erstwohnungsnutzung des Bauvorhabens als unrealistisch erscheinen lassen. Die Möglichkeit, die Erstwohnnutzungsbeschränkung nach Art. 14 Abs. 1 lit. b des Zweitwohnungsgesetzes vom 20. März 2015 (ZWG; SR 702) zu sistieren, erhöht das Risiko, dass die Bauherrschaft (trotz der restriktiven gesetzlichen Voraussetzungen) von vornherein auf eine künftige BGE 145 II 99 S. 101 Sistierung setzt. Es würde dem Zweck des ZWG und von Art. 75b BV offensichtlich zuwiderlaufen, die Erstellung von Wohnungen zu bewilligen, die wahrscheinlich nie als Erstwohnungen genutzt werden können ( BGE 144 II 49 E. 2.4 in fine S. 54 f.).</w:t>
      </w:r>
    </w:p>
    <w:p>
      <w:r>
        <w:rPr>
          <w:b/>
        </w:rPr>
        <w:t>E. 3.1</w:t>
      </w:r>
    </w:p>
    <w:p>
      <w:r>
        <w:t>Zu berücksichtigen sind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Bewohner oder Bewohnerinnen nicht bekannt, ist die Nachfrage nach Erstwohnungen im gleichen Segment das Hauptkriterium ( BGE 144 II 49 E. 2.2 S. 53; BGE 142 II 206 E. 3.2 S. 214). Diesfalls muss glaubhaft gemacht werden, dass im betreffenden Marktsegment eine Nachfrage für Erstwohnungen besteht ( BGE 144 II 49 E. 2.3 S. 53; Urteil 1C_160/2015 vom 3. Mai 2016). In Fällen, in denen die Nachfrage offensichtlich unzureichend ist, dürfen Baubewilligungen nur erteilt werden, wenn ernsthafte und konkrete Zusicherungen für den Erwerb durch ganzjährige Bewohner vorliegen ( BGE 144 II 49 E. 2.4 S. 54). Dies gilt nach der Rechtsprechung selbst dann, wenn die Bauherrschaft die Absicht hat, das Bauvorhaben als Erstwohnungen zu vermarkten: Ist diese Absicht nicht realistisch, ist von einer Umgehung der gesetzlichen Regelung auszugehen. Diesfalls ist auch der Einwand unbeachtlich, wonach die Bauherrschaft das finanzielle Risiko trage (Urteil 1C_263/2016 vom 21. Februar 2017 E. 5.3 in fine).</w:t>
      </w:r>
    </w:p>
    <w:p>
      <w:r>
        <w:rPr>
          <w:b/>
        </w:rPr>
        <w:t>E. 3.2</w:t>
      </w:r>
    </w:p>
    <w:p>
      <w:r>
        <w:t>Die vorliegend streitigen Wohnungen wurden ursprünglich als Zweitwohnungen konzipiert; die Baupläne blieben trotz der Projektänderung "Nutzung als Erstwohnung" unverändert. Die Wohnungen entsprechen denn auch von Zuschnitt und Infrastruktur her (Fitnessraum, Wellnessbereich mit Sauna, Dampfbad und Jacuzzi) Ferienwohnungen des gehobenen Standards. Eine Erstwohnnutzung erscheint zwar nicht ausgeschlossen, kommt aber aufgrund des voraussichtlichen Preises nur für wohlhabende Personen in Betracht - wie auch die Beschwerdegegner einräumen. Für Erstwohnungen im gehobenen bzw. luxuriösen Segment sind die Wohnungen jedoch klein dimensioniert; dies gilt jedenfalls für die Dreizimmerwohnungen der Häuser A und B mit einer Fläche von nur rund 70 m 2 . BGE 145 II 99 S. 102 Die Wohnungen liegen zudem nicht im Ortszentrum, sondern im Ortsteil Unterbort, rund 140 m oberhalb der Gemeinde Saanen, in dem sich vor allem Zweitwohnungen befinden. Die Distanz zum Ortszentrum (mit Einkaufsmöglichkeiten und Bahnanschluss) beträgt nach den Feststellungen des Verwaltungsgerichts 20 Minuten zu Fuss; zur nächstgelegenen Haltestelle des öffentlichen Verkehrs sind es gut 10 Gehminuten. Die Bewohner sind deshalb für Besorgungen auf ein Auto angewiesen. In Saanen besteht kein Mangel an Erstwohnungen, auch nicht im gehobenen/luxuriösen Segment: Nach Schätzung der Gemeinde stehen allein in diesem Segment 10-15 Wohnungen leer (genaue Zahlen fehlen) und sind 13-18 im Bau bzw. bereits bewilligt. Die Wohnbevölkerung Saanens stagniert seit Jahren; ob sie künftig wieder stärker ansteigen wird, bleibt ungewiss. Unter diesen Umständen erscheint das Vorhaben der Beschwerdegegner, gleich 12 neue Erstwohnungen des gehobenen/luxuriösen Segments zu vermarkten (bzw. 8 bei Etappierung von Haus C), unrealistisch. Dies gilt jedenfalls, wenn es sich - wie hier - von Zuschnitt und Lage her um typische Ferienwohnungen handelt. Den Beschwerdegegnern ist es denn auch seit Einreichung des Baugesuchs im Jahr 2012 nicht gelungen, auch nur eine einzige Wohnung ab Plan an Ortsansässige zu verkaufen. Dies stellt ein Indiz für die fehlende Nachfrage dar, auch wenn das Rechtsmittelverfahren gewisse Interessenten abgeschreckt haben mag.</w:t>
      </w:r>
    </w:p>
    <w:p>
      <w:r>
        <w:rPr>
          <w:b/>
        </w:rPr>
        <w:t>E. 3.3</w:t>
      </w:r>
    </w:p>
    <w:p>
      <w:r>
        <w:t>Nach dem Gesagten ist ein Rechtsmissbrauch zu bejahen. Dies hat zur Folge, dass die Baubewilligung aufzuheben ist, da keine ernsthaften und konkreten Zusicherungen für den Erwerb durch Ortsansässige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